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2012/43 vom 6. Februar 2013</w:t>
      </w:r>
    </w:p>
    <w:p>
      <w:r>
        <w:t>Sg Versicherungsgericht, 2013-02-06, DE</w:t>
      </w:r>
    </w:p>
    <w:p>
      <w:r>
        <w:rPr>
          <w:b/>
        </w:rPr>
        <w:t xml:space="preserve">Quelle: </w:t>
      </w:r>
      <w:r>
        <w:t>https://mcp.opencaselaw.ch/entscheid/sg_publikationen_AVI 2012_43</w:t>
      </w:r>
    </w:p>
    <w:p>
      <w:r>
        <w:t>FR: SG_VERSICHERUNGSGERICHT AVI 2012/43 du 6 février 2013</w:t>
      </w:r>
    </w:p>
    <w:p>
      <w:r>
        <w:t>IT: SG_VERSICHERUNGSGERICHT AVI 2012/43 del 6 febbraio 2013</w:t>
      </w:r>
    </w:p>
    <w:p>
      <w:pPr>
        <w:pStyle w:val="Heading2"/>
      </w:pPr>
      <w:r>
        <w:t>Regeste</w:t>
      </w:r>
    </w:p>
    <w:p>
      <w:r>
        <w:t>Art. 30 Abs. 1 lit. a AVIG. Arbeitgeberkündigung. Ungenügende Leistungserbringung. Eventualvorsatz verneint (Entscheid des Versicherungsgerichts des Kantons St.Gallen vom 6. Februar 2013, AVI 2012/43).</w:t>
      </w:r>
    </w:p>
    <w:p>
      <w:pPr>
        <w:pStyle w:val="Heading2"/>
      </w:pPr>
      <w:r>
        <w:t>Erwägungen</w:t>
      </w:r>
    </w:p>
    <w:p>
      <w:r>
        <w:rPr>
          <w:b/>
        </w:rPr>
        <w:t>E. 1</w:t>
      </w:r>
    </w:p>
    <w:p>
      <w:r>
        <w:t>1.1  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Zu den arbeitsvertrag­lichen Verpflichtungen eines Arbeitnehmers gehört es, die allgemeinen Anordnungen des Arbeitgebers und die ihm erteilten besonderen Weisungen nach Treu und Glauben zu befolgen (Art. 321d Abs. 2 des Schweizerischen Obligationenrechts [OR; SR 220]). 1.2  Am 17. Oktober 1991 ist für die Schweiz das Übereinkommen Nr. 168 der Internationalen Arbeitsorganisation (IAO) über die Beschäftigungsförderung und den Schutz gegen Arbeitslosigkeit vom 21. Juni 1988 (nachfolgend Übereinkommen; SR 0.822.726.8) in Kraft getreten. Gemäss Art. 20 lit. b des Übereinkommens können Leistungen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236 f. E. 3c). Eine Einstellung in der Anspruchsberechtigung setzt somit voraus, dass die versicherte Person vorsätzlich zu ihrer Entlassung beigetragen hat (Urteile des Eidgenössischen Versicherungsgerichts [EVG; ab 1. Januar 2007: Sozialrechtliche Abteilungen des Bundesgerichts] vom 26. April 2006, C 6/06, E. 1.1 und C 11/06, E. 1, je mit Hinweisen auf BGE 124 V 236 E. 3b). Im Sozialversicherungsrecht handelt vorsätzlich, wer eine Tat mit Wissen und Willen begeht, oder mindestens im Sinn des Eventualvorsatzes in Kauf nimmt (Jacqueline Chopard,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 fahrlässig zur Kündigung durch den Arbeitgeber beigetragen, ist eine Einstellung in der Anspruchsberechtigung gemäss Art. 20 lit. b des Übereinkommens nicht zulässig. 1.3  Beim Einstellungsgrund nach Art. 44 Abs. 1 lit. a AVIV genügt der im Sozialver­sicherungsrecht übliche Beweisgrad der überwiegenden Wahrscheinlichkeit nicht, sondern das der versicherten Person zur Last gelegte Verhalten muss klar feststehen (vgl. Thomas Nussbaumer, Arbeitslosenversicherung, in: Schweizerisches Bundesverwaltungsrecht, Bd. XIV Soziale Sicherheit, 2. Auflage,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Nussbaumer, a.a.O., Rz 831 mit Hinweisen).</w:t>
      </w:r>
    </w:p>
    <w:p>
      <w:r>
        <w:rPr>
          <w:b/>
        </w:rPr>
        <w:t>E. 2</w:t>
      </w:r>
    </w:p>
    <w:p>
      <w:r>
        <w:t>Streitig und zu prüfen ist, ob die Beschwerdegegnerin den Beschwerdeführer zu Recht wegen selbstverschuldeter Arbeitslosigkeit für 35 Tage in der Anspruchsberechtigung eingestellt hat. Die Einstellung gründet auf den Angaben der ehemaligen Arbeitgeberin (act. G 3.16), wonach die Arbeitsleistung des Beschwerdeführers qualitativ und quantitativ nicht ausreichend gewesen sein soll (act. G 3.52). 2.1  Zunächst weist der Beschwerdeführer zu Recht darauf hin, dass die ehemalige Arbeitgeberin in der Stellungnahme vom 2. Januar 2012 bestätigt hat, er habe keine arbeitsrechtlichen Pflichten verletzt (act. G 3.16). Zu überprüfen ist, ob der Beschwerdeführer der Arbeitgeberin dennoch durch vermeidbares Verhalten begründeten Anlass zur ordentlichen Kündigung gegeben hat (vgl. Chopard, a.a.O., S. 107). Dabei stellt sich insbesondere die Frage, ob der Beschwerdeführer die Kündigung eventualvorsätzlich herbeigeführt hat. 2.2  Zu den Umständen, die allenfalls auf eventualvorsätzliches Verhalten schliessen lassen, gehören die Grösse des der betroffenen Person bekannten Risikos der Tat­bestandsverwirklichung, die Schwere der Sorgfaltspflichtverletzung, ihre Beweggründe und die Art der Tathandlung. Das Gericht darf vom Wissen der betroffenen Person auf deren Willen schliessen, wenn sich der betroffenen Person der Eintritt des Erfolgs als so wahrscheinlich aufdrängte, dass die Bereitschaft, ihn als Folge hinzunehmen, vernünftigerweise nur als Inkaufnahme des Erfolgs ausgelegt werden kann (Urteil des Bundesgerichts vom 6. Juni 2012, 8C_872/2011, E. 4.2.2 mit Hinweis auf BGE 138 V 84 E. 8.4.1). 2.2.1      Ins Gewicht fällt bei der Beantwortung der Frage nach dem Vorliegen eines Eventualvorsatzes, dass die ehemalige Arbeitgeberin nach der ersten Verwarnung in­folge unzureichender Leistungserbringung vom 20. August 2009 (act. G 3.24) mit einer Kündigung (zur Kündigung vom 28. Oktober 2011 vgl. act. G 3.2) noch mehr als zwei Jahre zuwartete. Den Vorwurf, dass die Quantität der vom Beschwerdeführer erbrachten Leistungen in der Registerabteilung stark abgenommen habe, und die Androhung der Kündigung bei unverbesserter Leistungserbringung wiederholte die ehemalige Arbeitgeberin zwar in der schriftlichen Verwarnung vom 9. Juli 2010 (act. G 3.24). Allerdings liegen zwischen der ersten und zweiten Verwarnung rund 11 Monate und zwischen der zweiten Verwarnung und der Kündigung rund 14 Monate. Mit Blick auf die lange zeitliche Distanz zwischen den beiden schriftlichen Verwarnungen bzw. der letzten schriftlichen Verwarnung und der Kündigung, erscheint es höchstens grob fahr­lässig, wenn der Beschwerdeführer den Verwarnungen mit der Zeit die Bedeutung zumass, es handle sich dabei primär um - wenn auch ernstzunehmende - Leistungserwartungen und der Hinweis auf die Kündigungsoption erfolge lediglich der Vollständigkeit halber. Dies gilt umso mehr, als die ehemalige Arbeitgeberin - zumindest im Fall des Beschwerdeführers - bei jeglicher Verfehlung eine schriftliche Verwarnung mit Kündigungsandrohung vornahm (vgl. zu den Verwarnungen vom 31. März 2010 wegen um 11 Minuten verspäteten Arbeitsantritts und vom 22. Januar 2010 wegen unerlaubter Bedienung eines Staplers act. G 3.24), weshalb er zumindest ab Anfang 2011 (rund fünf Monate nach der letzten schriftlichen Verwarnung) nicht mehr von einer akuten Kündigungsgefahr wegen ungenügender Leistung ausgehen musste. 2.2.2      Zugunsten des Beschwerdeführers ist in diesem Zusammenhang weiter zu berücksichtigen, dass weder in der nachträglichen Begründung für die Kündigung vom 2. Januar 2012 (act. G 3/A16) noch im Kündigungsschreiben vom 28. Oktober 2011 (act. G 3/A2) ein konkreter Anlass bzw. Auslöser genannt wird, der den Zeitpunkt der Kündigung als nachvollziehbar erscheinen lässt. Vor dem Hintergrund der langen zeit­lichen Distanz zwischen der letzten schriftlichen Verwarnung und der Kündigung erscheint die Begründung "er war schon seit längerem das schwächste Mitglied im Team" und "Leider konnten wir keine Verbesserung in seinen Leistungen feststellen." für ein konkret verwerfbares Verhalten als sehr vage. Damit bleibt insbesondere offen, ob die Kündigung letztlich aufgrund mangelnden Könnens oder Wollens erfolgte. Aus den genannten Umständen ergibt sich aber nicht - und das ist entscheidend -, der Beschwerdeführer habe unmittelbar vor der Kündigung eine wesentliche Pflichtverletzung begangen oder ein anderes Verhalten gezeigt, bei welchem er von einem erheblichen Kündigungsrisiko hätte ausgehen müssen. 2.2.3      Damit geht einher, dass die ehemalige Arbeitgeberin dem Beschwerdeführer nach der letzten schriftlichen Verwarnung erneut eine - wenn auch geringfügige - Lohnerhöhung per 1. März 2011 gewährte (act. G 3.3). Aufgrund dieser Lohnerhöhung durfte der Beschwerdeführer schliessen, dass sich die Zufriedenheit der Arbeitgeberin mit seiner Arbeitsleistung im Vergleich zum 9. Juli 2010 verbessert hatte und - unter Mitberücksichtigung des Umstands, dass keine weitere schriftliche Verwarnung mehr ausgesprochen wurde (vgl. vorstehende E. 2.2.2) - keine akute Kündigungsgefahr (mehr) drohte. 2.2.4      Diese Sichtweise wird durch das durchwegs wohlwollend formulierte Arbeitszeugnis vom 2. Januar 2012 bekräftigt, worin davon gesprochen wird, der Beschwerdeführer habe die ihm übertragenen Arbeiten zur vollen Zufriedenheit erledigt (act. G 3.24). 2.2.5      Kann dem Beschwerdeführer nach dem Gesagten kein eventualvorsätzliches sondern höchstens ein fahrlässiges Verhalten zur Last gelegt werden, ist von einer Einstellung in der Anspruchsberechtigung abzusehen.</w:t>
      </w:r>
    </w:p>
    <w:p>
      <w:r>
        <w:rPr>
          <w:b/>
        </w:rPr>
        <w:t>E. 3</w:t>
      </w:r>
    </w:p>
    <w:p>
      <w:r>
        <w:t>In Gutheissung der Beschwerde ist der Einspracheentscheid vom 3. April 2012 aufzuheben. Gerichtskosten sind keine zu erheben (Art. 61 lit. a des Bundesgesetzes über den Allgemeinen Teil des Sozialversicherungsrechts [ATSG; SR 830.1]).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verzichtete auf das Einreichen einer Kostennote. Im vorliegenden Fall erscheint eine pauschale Parteientschädigung von Fr. 3'000.-- (inklusive Barauslagen und Mehrwertsteuer) als angemessen. Demgemäss hat das Versicherungsgericht im Zirkulationsverfahren gemäss Art. 39 VRP entschieden: 1.       In Gutheissung der Beschwerde wird der Einspracheentscheid vom 3. April 2012 aufgehoben.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